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However, Charles Babbage had already written his first program for the Analytical Engine in 1837.</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Scripting and breakpointing is also part of this process.</w:t>
        <w:br/>
        <w:t>Use of a static code analysis tool can help detect some possible problems.</w:t>
        <w:br/>
        <w:t>For example, COBOL is still strong in corporate data centers often on large mainframe computers, Fortran in engineering applications, scripting languages in Web development, and C in embedded software.</w:t>
        <w:br/>
        <w:t>This can be a non-trivial task, for example as with parallel processes or some unusual software bugs.</w:t>
        <w:br/>
        <w:t>Relatedly, software engineering combines engineering techniques and principles with software development.</w:t>
        <w:br/>
        <w:t>Some languages are more prone to some kinds of faults because their specification does not require compilers to perform as much checking as other languages.</w:t>
        <w:br/>
        <w:t>To produce machine code, the source code must either be compiled or transpiled.</w:t>
        <w:br/>
        <w:t xml:space="preserve"> Various visual programming languages have also been developed with the intent to resolve readability concerns by adopting non-traditional approaches to code structure and display.</w:t>
        <w:br/>
        <w:t>One approach popular for requirements analysis is Use Case analysis.</w:t>
        <w:br/>
        <w:t>For example, COBOL is still strong in corporate data centers often on large mainframe computers, Fortran in engineering applications, scripting languages in Web development, and C in embedded software.</w:t>
        <w:br/>
        <w:t>Programming involves tasks such as analysis, generating algorithms, profiling algorithms' accuracy and resource consumption, and the implementation of algorithms (usually in a particular programming language, commonly referred to as coding).</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