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The Unified Modeling Language (UML) is a notation used for both the OOAD and MDA.</w:t>
        <w:br/>
        <w:t>Some text editors such as Emacs allow GDB to be invoked through them, to provide a visual environment.</w:t>
        <w:br/>
        <w:t>However, Charles Babbage had already written his first program for the Analytical Engine in 1837.</w:t>
        <w:br/>
        <w:t>The choice of language used is subject to many considerations, such as company policy, suitability to task, availability of third-party packages, or individual preference.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because an assembly language is little more than a different notation for a machine language,  two machines with different instruction sets also have different assembly languages.</w:t>
        <w:br/>
        <w:t>However, because an assembly language is little more than a different notation for a machine language,  two machines with different instruction sets also have different assembly languages.</w:t>
        <w:br/>
        <w:t>However, with the concept of the stored-program computer introduced in 1949, both programs and data were stored and manipulated in the same way in computer memory.</w:t>
        <w:br/>
        <w:t>Relatedly, software engineering combines engineering techniques and principles with software development.</w:t>
        <w:br/>
        <w:t>Compiling takes the source code from a low-level programming language and converts it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is usually easier to code in "high-level" languages than in "low-level" ones.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