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By the late 1960s, data storage devices and computer terminals became inexpensive enough that programs could be created by typing directly into the computers.</w:t>
        <w:br/>
        <w:t>When debugging the problem in a GUI, the programmer can try to skip some user interaction from the original problem description and check if remaining actions are sufficient for bugs to appear.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Many factors, having little or nothing to do with the ability of the computer to efficiently compile and execute the code, contribute to readability.</w:t>
        <w:br/>
        <w:t>Relatedly, software engineering combines engineering techniques and principles with software development.</w:t>
        <w:br/>
        <w:t>However, with the concept of the stored-program computer introduced in 1949, both programs and data were stored and manipulated in the same way in computer memory.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There exist a lot of different approaches for each of those tasks.</w:t>
        <w:br/>
        <w:t>However, with the concept of the stored-program computer introduced in 1949, both programs and data were stored and manipulated in the same way in computer memory.</w:t>
        <w:br/>
        <w:t>Transpiling on the other hand, takes the source-code from a high-level programming language and converts it into bytecode.</w:t>
        <w:br/>
        <w:t>Also, specific user environment and usage history can make it difficult to reproduce the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