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It affects the aspects of quality above, including portability, usability and most importantly maintainability.</w:t>
        <w:b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Some languages are more prone to some kinds of faults because their specification does not require compilers to perform as much checking as other languages.</w:t>
        <w:br/>
        <w:t>It is usually easier to code in "high-level" languages than in "low-level" ones.</w:t>
        <w:br/>
        <w:t>As early as the 9th century, a programmable music sequencer was invented by the Persian Banu Musa brothers, who described an automated mechanical flute player in the Book of Ingenious Devices.</w:t>
        <w:br/>
        <w:t>The Unified Modeling Language (UML) is a notation used for both the OOAD and MDA.</w:t>
        <w:br/>
        <w:t xml:space="preserve"> Programmable devices have existed for centuries.</w:t>
        <w:br/>
        <w:t xml:space="preserve"> The academic field and the engineering practice of computer programming are both largely concerned with discovering and implementing the most efficient algorithms for a given class of problems.</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