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Use of a static code analysis tool can help detect some possible problems.</w:t>
        <w:br/>
        <w:t>Also, specific user environment and usage history can make it difficult to reproduce the problem.</w:t>
        <w:br/>
        <w:t>Scripting and breakpointing is also part of this process.</w:t>
        <w:br/>
        <w:t>Compiling takes the source code from a low-level programming language and converts it into machine code.</w:t>
        <w:br/>
        <w:t>The choice of language used is subject to many considerations, such as company policy, suitability to task, availability of third-party packages, or individual preference.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After the bug is reproduced, the input of the program may need to be simplified to make it easier to debug.</w:t>
        <w:br/>
        <w:t>The Unified Modeling Language (UML) is a notation used for both the OOAD and MDA.</w:t>
        <w:br/>
        <w:t>However, Charles Babbage had already written his first program for the Analytical Engine in 1837.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Whatever the approach to development may be, the final program must satisfy some fundamental properties.</w:t>
        <w:br/>
        <w:t>However, with the concept of the stored-program computer introduced in 1949, both programs and data were stored and manipulated in the same way in computer memory.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