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However, Charles Babbage had already written his first program for the Analytical Engine in 1837.</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Integrated development environments (IDEs) aim to integrate all such help.</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