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Also, those involved with software development may at times engage in reverse engineering, which is the practice of seeking to understand an existing program so as to re-implement its function in some way.</w:t>
        <w:br/>
        <w:t>Integrated development environments (IDEs) aim to integrate all such help.</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because an assembly language is little more than a different notation for a machine language,  two machines with different instruction sets also have different assembly languages.</w:t>
        <w:br/>
        <w:t>Proficient programming thus usually requires expertise in several different subjects, including knowledge of the application domain, specialized algorithms, and formal logic.</w:t>
        <w:br/>
        <w:t>Some text editors such as Emacs allow GDB to be invoked through them, to provide a visual environment.</w:t>
        <w:br/>
        <w:t>The choice of language used is subject to many considerations, such as company policy, suitability to task, availability of third-party packages, or individual preference.</w:t>
        <w:br/>
        <w:t>The choice of language used is subject to many considerations, such as company policy, suitability to task, availability of third-party packages, or individual preference.</w:t>
        <w:br/>
        <w:t>By the late 1960s, data storage devices and computer terminals became inexpensive enough that programs could be created by typing directly into the computers.</w:t>
        <w:b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Computer programmers are those who write computer software.</w:t>
        <w:br/>
        <w:t xml:space="preserve"> Implementation techniques include imperative languages (object-oriented or procedural), functional languages, and logic languages.</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