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Unreadable code often leads to bugs, inefficiencies, and duplicated code.</w:t>
        <w:br/>
        <w:t>Unreadable code often leads to bugs, inefficiencies, and duplicated code.</w:t>
        <w:br/>
        <w:t>However, Charles Babbage had already written his first program for the Analytical Engine in 1837.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Compiling takes the source code from a low-level programming language and converts it into machine code.</w:t>
        <w:br/>
        <w:t>Relatedly, software engineering combines engineering techniques and principles with software development.</w:t>
        <w:br/>
        <w:t>He gave the first description of cryptanalysis by frequency analysis, the earliest code-breaking algorithm.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Transpiling on the other hand, takes the source-code from a high-level programming language and converts it into bytecode.</w:t>
        <w:br/>
        <w:t>It is usually easier to code in "high-level" languages than in "low-level" ones.</w:t>
        <w:br/>
        <w:t>Proficient programming thus usually requires expertise in several different subjects, including knowledge of the application domain, specialized algorithms, and formal logic.</w:t>
        <w:br/>
        <w:t>Some languages are more prone to some kinds of faults because their specification does not require compilers to perform as much checking as other languages.</w:t>
        <w:br/>
        <w:t>In the 9th century, the Arab mathematician Al-Kindi described a cryptographic algorithm for deciphering encrypted code, in A Manuscript on Deciphering Cryptographic Messages.</w:t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