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Many factors, having little or nothing to do with the ability of the computer to efficiently compile and execute the code, contribute to readability.</w:t>
        <w:br/>
        <w:t>This can be a non-trivial task, for example as with parallel processes or some unusual software bugs.</w:t>
        <w:br/>
        <w:t>However, with the concept of the stored-program computer introduced in 1949, both programs and data were stored and manipulated in the same way in computer memory.</w:t>
        <w:br/>
        <w:t>Integrated development environments (IDEs) aim to integrate all such help.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In 1801, the Jacquard loom could produce entirely different weaves by changing the "program" – a series of pasteboard cards with holes punched in them.</w:t>
        <w:br/>
        <w:t>The choice of language used is subject to many considerations, such as company policy, suitability to task, availability of third-party packages, or individual preference.</w:t>
        <w:br/>
        <w:t xml:space="preserve"> Debugging is often done with IDEs. Standalone debuggers like GDB are also used, and these often provide less of a visual environment, usually using a command line.</w:t>
        <w:br/>
        <w:t>The Unified Modeling Language (UML) is a notation used for both the OOAD and MDA.</w:t>
        <w:br/>
        <w:t xml:space="preserve"> High-level languages made the process of developing a program simpler and more understandable, and less bound to the underlying hardware.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