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Transpiling on the other hand, takes the source-code from a high-level programming language and converts it into bytecode.</w:t>
        <w:br/>
        <w:t>Some text editors such as Emacs allow GDB to be invoked through them, to provide a visual environment.</w:t>
        <w:br/>
        <w:t>However, readability is more than just programming style.</w:t>
        <w:br/>
        <w:t>Ideally, the programming language best suited for the task at hand will be selected.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with the concept of the stored-program computer introduced in 1949, both programs and data were stored and manipulated in the same way in computer memory.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Programming languages are essential for software development.</w:t>
        <w:br/>
        <w:t>Compiling takes the source code from a low-level programming language and converts it into machine code.</w:t>
        <w:br/>
        <w:t xml:space="preserve"> Programmable devices have existed for centuries.</w:t>
        <w:br/>
        <w:t xml:space="preserve"> Programmable devices have existed for centuries.</w:t>
        <w:br/>
        <w:t>Compiling takes the source code from a low-level programming language and converts it into machine code.</w:t>
        <w:br/>
        <w:t>For example, COBOL is still strong in corporate data centers often on large mainframe computers, Fortran in engineering applications, scripting languages in Web development, and C in embedded software.</w:t>
        <w:br/>
        <w:t>Also, those involved with software development may at times engage in reverse engineering, which is the practice of seeking to understand an existing program so as to re-implement its function in some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