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Expert programmers are familiar with a variety of well-established algorithms and their respective complexities and use this knowledge to choose algorithms that are best suited to the circumstances.</w:t>
        <w:br/>
        <w:t>Unreadable code often leads to bugs, inefficiencies, and duplicated code.</w:t>
        <w:br/>
        <w:t>Unreadable code often leads to bugs, inefficiencies, and duplicated code.</w:t>
        <w:br/>
        <w:t>In 1206, the Arab engineer Al-Jazari invented a programmable drum machine where a musical mechanical automaton could be made to play different rhythms and drum patterns, via pegs and cams.</w:t>
        <w:br/>
        <w:t>Expert programmers are familiar with a variety of well-established algorithms and their respective complexities and use this knowledge to choose algorithms that are best suited to the circumstances.</w:t>
        <w:br/>
        <w:t>To produce machine code, the source code must either be compiled or transpiled.</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The source code of a program is written in one or more languages that are intelligible to programmers, rather than machine code, which is directly executed by the central processing unit.</w:t>
        <w:br/>
        <w:t>Some of these factors include:</w:t>
        <w:br/>
        <w:t xml:space="preserve"> The presentation aspects of this (such as indents, line breaks, color highlighting, and so on) are often handled by the source code editor, but the content aspects reflect the programmer's talent and skills.</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