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Relatedly, software engineering combines engineering techniques and principles with software development.</w:t>
        <w:br/>
        <w:t>Some text editors such as Emacs allow GDB to be invoked through them, to provide a visual environment.</w:t>
        <w:br/>
        <w:t>By the late 1960s, data storage devices and computer terminals became inexpensive enough that programs could be created by typing directly into the computers.</w:t>
        <w:br/>
        <w:t>Proficient programming thus usually requires expertise in several different subjects, including knowledge of the application domain, specialized algorithms, and formal logic.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specific user environment and usage history can make it difficult to reproduce the problem.</w:t>
        <w:br/>
        <w:t>Many applications use a mix of several languages in their construction and use.</w:t>
        <w:br/>
        <w:t>This can be a non-trivial task, for example as with parallel processes or some unusual software bugs.</w:t>
        <w:br/>
        <w:t>Proficient programming thus usually requires expertise in several different subjects, including knowledge of the application domain, specialized algorithms, and formal logic.</w:t>
        <w:br/>
        <w:t xml:space="preserve"> After the bug is reproduced, the input of the program may need to be simplified to make it easier to debug.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Some languages are very popular for particular kinds of applications, while some languages are regularly used to write many different kinds of applications.</w:t>
        <w:br/>
        <w:t>It is usually easier to code in "high-level" languages than in "low-level" ones.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