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Trial-and-error/divide-and-conquer is needed: the programmer will try to remove some parts of the original test case and check if the problem still exists.</w:t>
        <w:br/>
        <w:t>When debugging the problem in a GUI, the programmer can try to skip some user interaction from the original problem description and check if remaining actions are sufficient for bugs to appear.</w:t>
        <w:br/>
        <w:t>In 1801, the Jacquard loom could produce entirely different weaves by changing the "program" – a series of pasteboard cards with holes punched in them.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those involved with software development may at times engage in reverse engineering, which is the practice of seeking to understand an existing program so as to re-implement its function in some way.</w:t>
        <w:br/>
        <w:t>Many programmers use forms of Agile software development where the various stages of formal software development are more integrated together into short cycles that take a few weeks rather than years.</w:t>
        <w:br/>
        <w:t>There are many approaches to the Software development process.</w:t>
        <w:br/>
        <w:t>The Unified Modeling Language (UML) is a notation used for both the OOAD and MDA.</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Techniques like Code refactoring can enhance readability.</w:t>
        <w:br/>
        <w:t>Compilers harnessed the power of computers to make programming easier by allowing programmers to specify calculations by entering a formula using infix notation.</w:t>
        <w:br/>
        <w:t>For example, when a bug in a compiler can make it crash when parsing some large source file, a simplification of the test case that results in only few lines from the original source file can be sufficient to reproduce the same crash.</w:t>
        <w:br/>
        <w:t xml:space="preserve"> In the 1880s, Herman Hollerith invented the concept of storing data in machine-readable form.</w:t>
        <w:br/>
        <w:t>This is interpreted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