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 xml:space="preserve"> Readability is important because programmers spend the majority of their time reading, trying to understand, reusing and modifying existing source code, rather than writing new source code.</w:t>
        <w:br/>
        <w:t>For example, COBOL is still strong in corporate data centers often on large mainframe computers, Fortran in engineering applications, scripting languages in Web development, and C in embedded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