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Many factors, having little or nothing to do with the ability of the computer to efficiently compile and execute the code, contribute to readability.</w:t>
        <w:br/>
        <w:t>They are the building blocks for all software, from the simplest applications to the most sophisticated ones.</w:t>
        <w:br/>
        <w:t>Some languages are more prone to some kinds of faults because their specification does not require compilers to perform as much checking as other languages.</w:t>
        <w:br/>
        <w:t>For this purpose, algorithms are classified into orders using so-called Big O notation, which expresses resource use, such as execution time or memory consumption, in terms of the size of an input.</w:t>
        <w:br/>
        <w:t>The Unified Modeling Language (UML) is a notation used for both the OOAD and MDA.</w:t>
        <w:br/>
        <w:t>They are the building blocks for all software, from the simplest applications to the most sophisticated ones.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Programming languages are essential for software development.</w:t>
        <w:br/>
        <w:t>One approach popular for requirements analysis is Use Case analysis.</w:t>
        <w:br/>
        <w:t>For this purpose, algorithms are classified into orders using so-called Big O notation, which expresses resource use, such as execution time or memory consumption, in terms of the size of an input.</w:t>
        <w:br/>
        <w:t>It affects the aspects of quality above, including portability, usability and most importantly maintainability.</w:t>
        <w:br/>
        <w:t>Text editors were also developed that allowed changes and corrections to be made much more easily than with punched cards.</w:t>
        <w:br/>
        <w:t>A study found that a few simple readability transformations made code shorter and drastically reduced the time to understand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