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Assembly languages were soon developed that let the programmer specify instruction in a text format (e.g., ADD X, TOTAL), with abbreviations for each operation code and meaningful names for specifying addresses.</w:t>
        <w:br/>
        <w:t>However, readability is more than just programming style.</w:t>
        <w:br/>
        <w:t>This is interpreted into machine code.</w:t>
        <w:br/>
        <w:t>Ideally, the programming language best suited for the task at hand will be selected.</w:t>
        <w:br/>
        <w:t>Programming involves tasks such as analysis, generating algorithms, profiling algorithms' accuracy and resource consumption, and the implementation of algorithms (usually in a particular programming language, commonly referred to as coding).</w:t>
        <w:br/>
        <w:t>Unreadable code often leads to bugs, inefficiencies, and duplicated code.</w:t>
        <w:br/>
        <w:t>This is interpreted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They are the building blocks for all software, from the simplest applications to the most sophisticated ones.</w:t>
        <w:br/>
        <w:t>One approach popular for requirements analysis is Use Case analysis.</w:t>
        <w:br/>
        <w:t>Proficient programming thus usually requires expertise in several different subjects, including knowledge of the application domain, specialized algorithms, and formal logic.</w:t>
        <w:br/>
        <w:t>Relatedly, software engineering combines engineering techniques and principles with software development.</w:t>
        <w:br/>
        <w:t xml:space="preserve"> Readability is important because programmers spend the majority of their time reading, trying to understand, reusing and modifying existing source code, rather than writing new source code.</w:t>
        <w:br/>
        <w:t xml:space="preserve"> Computer programmers are those who write computer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