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Many factors, having little or nothing to do with the ability of the computer to efficiently compile and execute the code, contribute to readability.</w:t>
        <w:br/>
        <w:t>Ideally, the programming language best suited for the task at hand will be selected.</w:t>
        <w:br/>
        <w:t>By the late 1960s, data storage devices and computer terminals became inexpensive enough that programs could be created by typing directly into the computers.</w:t>
        <w:br/>
        <w:t>Proficient programming thus usually requires expertise in several different subjects, including knowledge of the application domain, specialized algorithms, and formal logic.</w:t>
        <w:br/>
        <w:t>For example, COBOL is still strong in corporate data centers often on large mainframe computers, Fortran in engineering applications, scripting languages in Web development, and C in embedded software.</w:t>
        <w:br/>
        <w:t>Many programmers use forms of Agile software development where the various stages of formal software development are more integrated together into short cycles that take a few weeks rather than years.</w:t>
        <w:br/>
        <w:t>FORTRAN, the first widely used high-level language to have a functional implementation, came out in 1957, and many other languages were soon developed—in particular, COBOL aimed at commercial data processing, and Lisp for computer research.</w:t>
        <w:br/>
        <w:t>Transpiling on the other hand, takes the source-code from a high-level programming language and converts it into bytecode.</w:t>
        <w:br/>
        <w:t>Relatedly, software engineering combines engineering techniques and principles with software development.</w:t>
        <w:br/>
        <w:t>However, with the concept of the stored-program computer introduced in 1949, both programs and data were stored and manipulated in the same way in computer memory.</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