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with the concept of the stored-program computer introduced in 1949, both programs and data were stored and manipulated in the same way in computer memory.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t>Compiling takes the source code from a low-level programming language and converts it into machine code.</w:t>
        <w:br/>
        <w:t>Transpiling on the other hand, takes the source-code from a high-level programming language and converts it into bytecode.</w:t>
        <w:br/>
        <w:t>For example, COBOL is still strong in corporate data centers often on large mainframe computers, Fortran in engineering applications, scripting languages in Web development, and C in embedded software.</w:t>
        <w:br/>
        <w:t>Text editors were also developed that allowed changes and corrections to be made much more easily than with punched cards.</w:t>
        <w:br/>
        <w:t>When debugging the problem in a GUI, the programmer can try to skip some user interaction from the original problem description and check if remaining actions are sufficient for bugs to appear.</w:t>
        <w:br/>
        <w:t xml:space="preserve"> High-level languages made the process of developing a program simpler and more understandable, and less bound to the underlying hardware.</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