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Some of these factors include:</w:t>
        <w:br/>
        <w:t xml:space="preserve"> The presentation aspects of this (such as indents, line breaks, color highlighting, and so on) are often handled by the source code editor, but the content aspects reflect the programmer's talent and skills.</w:t>
        <w:br/>
        <w:t>As early as the 9th century, a programmable music sequencer was invented by the Persian Banu Musa brothers, who described an automated mechanical flute player in the Book of Ingenious Devices.</w:t>
        <w:br/>
        <w:t>Expert programmers are familiar with a variety of well-established algorithms and their respective complexities and use this knowledge to choose algorithms that are best suited to the circumstances.</w:t>
        <w:br/>
        <w:t>Integrated development environments (IDEs) aim to integrate all such help.</w:t>
        <w:br/>
        <w:t>Compiling takes the source code from a low-level programming language and converts it into machine code.</w:t>
        <w:br/>
        <w:t>The Unified Modeling Language (UML) is a notation used for both the OOAD and MDA.</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br/>
        <w:t>For example, when a bug in a compiler can make it crash when parsing some large source file, a simplification of the test case that results in only few lines from the original source file can be sufficient to reproduce the same crash.</w:t>
        <w:br/>
        <w:t xml:space="preserve"> Programmable devices have existed for centuries.</w:t>
        <w:br/>
        <w:t>This is interpreted into machine code.</w:t>
        <w:br/>
        <w:t>They are the building blocks for all software, from the simplest applications to the most sophisticated ones.</w:t>
        <w:br/>
        <w:t>Some languages are more prone to some kinds of faults because their specification does not require compilers to perform as much checking as other languages.</w:t>
        <w:br/>
        <w:t>However, readability is more than just programming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