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For this purpose, algorithms are classified into orders using so-called Big O notation, which expresses resource use, such as execution time or memory consumption, in terms of the size of an input.</w:t>
        <w:br/>
        <w:t>The choice of language used is subject to many considerations, such as company policy, suitability to task, availability of third-party packages, or individual preference.</w:t>
        <w:br/>
        <w:t>There are many approaches to the Software development process.</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However, with the concept of the stored-program computer introduced in 1949, both programs and data were stored and manipulated in the same way in computer memory.</w:t>
        <w:br/>
        <w:t>However, with the concept of the stored-program computer introduced in 1949, both programs and data were stored and manipulated in the same way in computer memory.</w:t>
        <w:br/>
        <w:t>Ideally, the programming language best suited for the task at hand will be selected.</w:t>
        <w:br/>
        <w:t>Proficient programming thus usually requires expertise in several different subjects, including knowledge of the application domain, specialized algorithms, and formal logic.</w:t>
        <w:br/>
        <w:t>Languages form an approximate spectrum from "low-level" to "high-level"; "low-level" languages are typically more machine-oriented and faster to execute, whereas "high-level" languages are more abstract and easier to use but execute less quickly.</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