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There exist a lot of different approaches for each of those tasks.</w:t>
        <w:br/>
        <w:t>Normally the first step in debugging is to attempt to reproduce the problem.</w:t>
        <w:br/>
        <w:t>There are many approaches to the Software development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Charles Babbage had already written his first program for the Analytical Engine in 1837.</w:t>
        <w:br/>
        <w:t>Unreadable code often leads to bugs, inefficiencies, and duplicated code.</w:t>
        <w:br/>
        <w:t>Some languages are more prone to some kinds of faults because their specification does not require compilers to perform as much checking as other languages.</w:t>
        <w:br/>
        <w:t>In 1801, the Jacquard loom could produce entirely different weaves by changing the "program" – a series of pasteboard cards with holes punched in them.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Different programming languages support different styles of programming (called programming paradigms).</w:t>
        <w:br/>
        <w:t xml:space="preserve"> Different programming languages support different styles of programming (called programming paradigms).</w:t>
        <w:br/>
        <w:t>As early as the 9th century, a programmable music sequencer was invented by the Persian Banu Musa brothers, who described an automated mechanical flute player in the Book of Ingenious Devices.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