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However, readability is more than just programming style.</w:t>
        <w:br/>
        <w:t>Some languages are more prone to some kinds of faults because their specification does not require compilers to perform as much checking as other languages.</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Trial-and-error/divide-and-conquer is needed: the programmer will try to remove some parts of the original test case and check if the problem still exists.</w:t>
        <w:br/>
        <w:t>There exist a lot of different approaches for each of those tasks.</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Text editors were also developed that allowed changes and corrections to be made much more easily than with punched cards.</w:t>
        <w:br/>
        <w:t xml:space="preserve"> Various visual programming languages have also been developed with the intent to resolve readability concerns by adopting non-traditional approaches to code structure and display.</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