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factors, having little or nothing to do with the ability of the computer to efficiently compile and execute the code, contribute to readability.</w:t>
        <w:br/>
        <w:t>Ideally, the programming language best suited for the task at hand will be selected.</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 1801, the Jacquard loom could produce entirely different weaves by changing the "program" – a series of pasteboard cards with holes punched in them.</w:t>
        <w:br/>
        <w:t>Many factors, having little or nothing to do with the ability of the computer to efficiently compile and execute the code, contribute to readability.</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In 1206, the Arab engineer Al-Jazari invented a programmable drum machine where a musical mechanical automaton could be made to play different rhythms and drum patterns, via pegs and cams.</w:t>
        <w:br/>
        <w:t>Trial-and-error/divide-and-conquer is needed: the programmer will try to remove some parts of the original test case and check if the problem still exists.</w:t>
        <w:br/>
        <w:t>Compiling takes the source code from a low-level programming language and converts it into machine code.</w:t>
        <w:br/>
        <w:t>Many applications use a mix of several languages in their construction and use.</w:t>
        <w:br/>
        <w:t>This can be a non-trivial task, for example as with parallel processes or some unusual software bugs.</w:t>
        <w:br/>
        <w:t>He gave the first description of cryptanalysis by frequency analysis, the earliest code-breaking algorithm.</w:t>
        <w:br/>
        <w:t>This can be a non-trivial task, for example as with parallel processes or some unusual software bugs.</w:t>
        <w:br/>
        <w:t xml:space="preserve"> The first computer program is generally dated to 1843, when mathematician Ada Lovelace published an algorithm to calculate a sequence of Bernoulli numbers, intended to be carried out by Charles Babbage's Analytical Engine.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