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When debugging the problem in a GUI, the programmer can try to skip some user interaction from the original problem description and check if remaining actions are sufficient for bugs to appear.</w:t>
        <w:br/>
        <w:t>However, because an assembly language is little more than a different notation for a machine language,  two machines with different instruction sets also have different assembly languages.</w:t>
        <w:br/>
        <w:t>When debugging the problem in a GUI, the programmer can try to skip some user interaction from the original problem description and check if remaining actions are sufficient for bugs to appear.</w:t>
        <w:br/>
        <w:t>However, with the concept of the stored-program computer introduced in 1949, both programs and data were stored and manipulated in the same way in computer memory.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Provided the functions in a library follow the appropriate run-time conventions (e.g., method of passing arguments), then these functions may be written in any other language.</w:t>
        <w:br/>
        <w:t>In 1801, the Jacquard loom could produce entirely different weaves by changing the "program" – a series of pasteboard cards with holes punched in them.</w:t>
        <w:br/>
        <w:t>The choice of language used is subject to many considerations, such as company policy, suitability to task, availability of third-party packages, or individual preference.</w:t>
        <w:br/>
        <w:t xml:space="preserve"> Following a consistent programming style often helps readability.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Whatever the approach to development may be, the final program must satisfy some fundamental properties.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