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Ideally, the programming language best suited for the task at hand will be selected.</w:t>
        <w:br/>
        <w:t>When debugging the problem in a GUI, the programmer can try to skip some user interaction from the original problem description and check if remaining actions are sufficient for bugs to appear.</w:t>
        <w:br/>
        <w:t>Relatedly, software engineering combines engineering techniques and principles with software development.</w:t>
        <w:br/>
        <w:t>Many programmers use forms of Agile software development where the various stages of formal software development are more integrated together into short cycles that take a few weeks rather than years.</w:t>
        <w:br/>
        <w:t>Many factors, having little or nothing to do with the ability of the computer to efficiently compile and execute the code, contribute to readability.</w:t>
        <w:br/>
        <w:t>Proficient programming thus usually requires expertise in several different subjects, including knowledge of the application domain, specialized algorithms, and formal logic.</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They are the building blocks for all software, from the simplest applications to the most sophisticated ones.</w:t>
        <w:br/>
        <w:t>However, Charles Babbage had already written his first program for the Analytical Engine in 1837.</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 source code of a program is written in one or more languages that are intelligible to programmers, rather than machine code, which is directly executed by the central processing unit.</w:t>
        <w:br/>
        <w:t>Some languages are more prone to some kinds of faults because their specification does not require compilers to perform as much checking as other languages.</w:t>
        <w:br/>
        <w:t>As early as the 9th century, a programmable music sequencer was invented by the Persian Banu Musa brothers, who described an automated mechanical flute player in the Book of Ingenious Devices.</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One approach popular for requirements analysis is Use Case analysis.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