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 xml:space="preserve"> Popular modeling techniques include Object-Oriented Analysis and Design (OOAD) and Model-Driven Architecture (MDA).</w:t>
        <w:br/>
        <w:t>However, with the concept of the stored-program computer introduced in 1949, both programs and data were stored and manipulated in the same way in computer memory.</w:t>
        <w:br/>
        <w:t>As early as the 9th century, a programmable music sequencer was invented by the Persian Banu Musa brothers, who described an automated mechanical flute player in the Book of Ingenious Devices.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