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The following properties are among the most important:</w:t>
        <w:br/>
        <w:br/>
        <w:t xml:space="preserve"> In computer programming, readability refers to the ease with which a human reader can comprehend the purpose, control flow, and operation of source code.</w:t>
        <w:br/>
        <w:t>However, Charles Babbage had already written his first program for the Analytical Engine in 1837.</w:t>
        <w:br/>
        <w:t>In the 9th century, the Arab mathematician Al-Kindi described a cryptographic algorithm for deciphering encrypted code, in A Manuscript on Deciphering Cryptographic Messages.</w:t>
        <w:br/>
        <w:t>Use of a static code analysis tool can help detect some possible problems.</w:t>
        <w:br/>
        <w:t>Some languages are more prone to some kinds of faults because their specification does not require compilers to perform as much checking as other languages.</w:t>
        <w:br/>
        <w:t>Relatedly, software engineering combines engineering techniques and principles with software development.</w:t>
        <w:br/>
        <w:t>Use of a static code analysis tool can help detect some possible problems.</w:t>
        <w:br/>
        <w:t xml:space="preserve"> A similar technique used for database design is Entity-Relationship Modeling (ER Modeling).</w:t>
        <w:b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Some text editors such as Emacs allow GDB to be invoked through them, to provide a visual environment.</w:t>
        <w:br/>
        <w:t>Ideally, the programming language best suited for the task at hand will be selected.</w:t>
        <w:br/>
        <w:t xml:space="preserve"> In the 1880s, Herman Hollerith invented the concept of storing data in machine-readable form.</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