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However, readability is more than just programming style.</w:t>
        <w:br/>
        <w:t>One approach popular for requirements analysis is Use Case analysis.</w:t>
        <w:br/>
        <w:t>A study found that a few simple readability transformations made code shorter and drastically reduced the time to understand it.</w:t>
        <w:br/>
        <w:t>Text editors were also developed that allowed changes and corrections to be made much more easily than with punched cards.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Compiling takes the source code from a low-level programming language and converts it into machine code.</w:t>
        <w:br/>
        <w:t>Expert programmers are familiar with a variety of well-established algorithms and their respective complexities and use this knowledge to choose algorithms that are best suited to the circumstances.</w:t>
        <w:br/>
        <w:t>Expert programmers are familiar with a variety of well-established algorithms and their respective complexities and use this knowledge to choose algorithms that are best suited to the circumstances.</w:t>
        <w:br/>
        <w:t>Use of a static code analysis tool can help detect some possible problems.</w:t>
        <w:br/>
        <w:t>Text editors were also developed that allowed changes and corrections to be made much more easily than with punched cards.</w:t>
        <w:br/>
        <w:t>However, Charles Babbage had already written his first program for the Analytical Engine in 1837.</w:t>
        <w:br/>
        <w:t>This can be a non-trivial task, for example as with parallel processes or some unusual software bugs.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