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Some text editors such as Emacs allow GDB to be invoked through them, to provide a visual environment.</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Programming languages are essential for software development.</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There exist a lot of different approaches for each of those tasks.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