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When debugging the problem in a GUI, the programmer can try to skip some user interaction from the original problem description and check if remaining actions are sufficient for bugs to appear.</w:t>
        <w:br/>
        <w:t>Expert programmers are familiar with a variety of well-established algorithms and their respective complexities and use this knowledge to choose algorithms that are best suited to the circumstances.</w:t>
        <w:br/>
        <w:t>There exist a lot of different approaches for each of those tasks.</w:t>
        <w:br/>
        <w:t>This is interpreted into machine code.</w:t>
        <w:br/>
        <w:t>Compiling takes the source code from a low-level programming language and converts it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It is usually easier to code in "high-level" languages than in "low-level"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factors, having little or nothing to do with the ability of the computer to efficiently compile and execute the code, contribute to readability.</w:t>
        <w:br/>
        <w:t>Languages form an approximate spectrum from "low-level" to "high-level"; "low-level" languages are typically more machine-oriented and faster to execute, whereas "high-level" languages are more abstract and easier to use but execute less quickly.</w:t>
        <w:br/>
        <w:t>Scripting and breakpointing is also part of this process.</w:t>
        <w:br/>
        <w:t xml:space="preserve"> High-level languages made the process of developing a program simpler and more understandable, and less bound to the underlying hardware.</w:t>
        <w:br/>
        <w:t>Scripting and breakpointing is also part of this process.</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