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However, Charles Babbage had already written his first program for the Analytical Engine in 1837.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this purpose, algorithms are classified into orders using so-called Big O notation, which expresses resource use, such as execution time or memory consumption, in terms of the size of an input.</w:t>
        <w:br/>
        <w:t>There exist a lot of different approaches for each of those tasks.</w:t>
        <w:br/>
        <w:t>However, readability is more than just programming style.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Many factors, having little or nothing to do with the ability of the computer to efficiently compile and execute the code, contribute to readability.</w:t>
        <w:br/>
        <w:t>They are the building blocks for all software, from the simplest applications to the most sophisticated ones.</w:t>
        <w:br/>
        <w:t>Compilers harnessed the power of computers to make programming easier by allowing programmers to specify calculations by entering a formula using infix notation.</w:t>
        <w:br/>
        <w:t xml:space="preserve"> Implementation techniques include imperative languages (object-oriented or procedural), functional languages, and logic languages.</w:t>
        <w:br/>
        <w:t xml:space="preserve"> Machine code was the language of early programs, written in the instruction set of the particular machine, often in binary notation.</w:t>
        <w:br/>
        <w:t>A study found that a few simple readability transformations made code shorter and drastically reduced the time to understand it.</w:t>
        <w:br/>
        <w:t>Trial-and-error/divide-and-conquer is needed: the programmer will try to remove some parts of the original test case and check if the problem still exists.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