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For this purpose, algorithms are classified into orders using so-called Big O notation, which expresses resource use, such as execution time or memory consumption, in terms of the size of an input.</w:t>
        <w:br/>
        <w:t>However, Charles Babbage had already written his first program for the Analytical Engine in 1837.</w:t>
        <w:br/>
        <w:t>However, readability is more than just programming style.</w:t>
        <w:br/>
        <w:t>Some text editors such as Emacs allow GDB to be invoked through them, to provide a visual environment.</w:t>
        <w:br/>
        <w:t>Transpiling on the other hand, takes the source-code from a high-level programming language and converts it into bytecode.</w:t>
        <w:br/>
        <w:t>Unreadable code often leads to bugs, inefficiencies, and duplicated code.</w:t>
        <w:br/>
        <w:t>Some languages are more prone to some kinds of faults because their specification does not require compilers to perform as much checking as other languages.</w:t>
        <w:br/>
        <w:t>Trial-and-error/divide-and-conquer is needed: the programmer will try to remove some parts of the original test case and check if the problem still exists.</w:t>
        <w:br/>
        <w:t>Integrated development environments (IDEs) aim to integrate all such help.</w:t>
        <w:br/>
        <w:t>Provided the functions in a library follow the appropriate run-time conventions (e.g., method of passing arguments), then these functions may be written in any other language.</w:t>
        <w:br/>
        <w:t>In the 9th century, the Arab mathematician Al-Kindi described a cryptographic algorithm for deciphering encrypted code, in A Manuscript on Deciphering Cryptographic Messages.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