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When debugging the problem in a GUI, the programmer can try to skip some user interaction from the original problem description and check if remaining actions are sufficient for bugs to appear.</w:t>
        <w:br/>
        <w:t>Transpiling on the other hand, takes the source-code from a high-level programming language and converts it into bytecode.</w:t>
        <w:br/>
        <w:t>This is interpreted into machine 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Many factors, having little or nothing to do with the ability of the computer to efficiently compile and execute the code, contribute to readability.</w:t>
        <w:br/>
        <w:t>Expert programmers are familiar with a variety of well-established algorithms and their respective complexities and use this knowledge to choose algorithms that are best suited to the circumstances.</w:t>
        <w:br/>
        <w:t>In 1801, the Jacquard loom could produce entirely different weaves by changing the "program" – a series of pasteboard cards with holes punched in them.</w:t>
        <w:br/>
        <w:t>One approach popular for requirements analysis is Use Case analysis.</w:t>
        <w:br/>
        <w:t>Compiling takes the source code from a low-level programming language and converts it into machine code.</w:t>
        <w:br/>
        <w:t>Compilers harnessed the power of computers to make programming easier by allowing programmers to specify calculations by entering a formula using infix notation.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When debugging the problem in a GUI, the programmer can try to skip some user interaction from the original problem description and check if remaining actions are sufficient for bugs to appear.</w:t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