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Languages form an approximate spectrum from "low-level" to "high-level"; "low-level" languages are typically more machine-oriented and faster to execute, whereas "high-level" languages are more abstract and easier to use but execute less quickly.</w:t>
        <w:br/>
        <w:t>There are many approaches to the Software development process.</w:t>
        <w:br/>
        <w:t>Programming involves tasks such as analysis, generating algorithms, profiling algorithms' accuracy and resource consumption, and the implementation of algorithms (usually in a particular programming language, commonly referred to as coding).</w:t>
        <w:br/>
        <w:t>There are many approaches to the Software development process.</w:t>
        <w:br/>
        <w:t>There are many approaches to the Software development process.</w:t>
        <w:br/>
        <w:t xml:space="preserve"> Popular modeling techniques include Object-Oriented Analysis and Design (OOAD) and Model-Driven Architecture (MDA).</w:t>
        <w:br/>
        <w:t>They are the building blocks for all software, from the simplest applications to the most sophisticated ones.</w:t>
        <w:br/>
        <w:t>In the 9th century, the Arab mathematician Al-Kindi described a cryptographic algorithm for deciphering encrypted code, in A Manuscript on Deciphering Cryptographic Messages.</w:t>
        <w:br/>
        <w:t>Provided the functions in a library follow the appropriate run-time conventions (e.g., method of passing arguments), then these functions may be written in any other language.</w:t>
        <w:br/>
        <w:t>The source code of a program is written in one or more languages that are intelligible to programmers, rather than machine code, which is directly executed by the central processing unit.</w:t>
        <w:br/>
        <w:t xml:space="preserve"> Implementation techniques include imperative languages (object-oriented or procedural), functional languages, and logic languages.</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