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For example, COBOL is still strong in corporate data centers often on large mainframe computers, Fortran in engineering applications, scripting languages in Web development, and C in embedded software.</w:t>
        <w:br/>
        <w:t>Some of these factors include:</w:t>
        <w:br/>
        <w:t xml:space="preserve"> The presentation aspects of this (such as indents, line breaks, color highlighting, and so on) are often handled by the source code editor, but the content aspects reflect the programmer's talent and skills.</w:t>
        <w:br/>
        <w:t>Compiling takes the source code from a low-level programming language and converts it into machine code.</w:t>
        <w:br/>
        <w:t>There exist a lot of different approaches for each of those tasks.</w:t>
        <w:br/>
        <w:t>The purpose of programming is to find a sequence of instructions that will automate the performance of a task (which can be as complex as an operating system) on a computer, often for solving a given problem.</w:t>
        <w:br/>
        <w:t>Some text editors such as Emacs allow GDB to be invoked through them, to provide a visual environment.</w:t>
        <w:b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br/>
        <w:t>There are many approaches to the Software development process.</w:t>
        <w:br/>
        <w:t>Provided the functions in a library follow the appropriate run-time conventions (e.g., method of passing arguments), then these functions may be written in any other language.</w:t>
        <w:br/>
        <w:t>This is interpreted into machine code.</w:t>
        <w:br/>
        <w:t>However, with the concept of the stored-program computer introduced in 1949, both programs and data were stored and manipulated in the same way in computer memory.</w:t>
        <w:br/>
        <w:t xml:space="preserve"> Programmable devices have existed for centuries.</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