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The Unified Modeling Language (UML) is a notation used for both the OOAD and MDA.</w:t>
        <w:br/>
        <w:t>Some text editors such as Emacs allow GDB to be invoked through them, to provide a visual environment.</w:t>
        <w:br/>
        <w:t>One approach popular for requirements analysis is Use Case analysis.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Transpiling on the other hand, takes the source-code from a high-level programming language and converts it into bytecode.</w:t>
        <w:br/>
        <w:t>In the 9th century, the Arab mathematician Al-Kindi described a cryptographic algorithm for deciphering encrypted code, in A Manuscript on Deciphering Cryptographic Messages.</w:t>
        <w:br/>
        <w:t>When debugging the problem in a GUI, the programmer can try to skip some user interaction from the original problem description and check if remaining actions are sufficient for bugs to appear.</w:t>
        <w:br/>
        <w:t>It is usually easier to code in "high-level" languages than in "low-level" ones.</w:t>
        <w:br/>
        <w:t>This can be a non-trivial task, for example as with parallel processes or some unusual software bugs.</w:t>
        <w:br/>
        <w:t>Text editors were also developed that allowed changes and corrections to be made much more easily than with punched cards.</w:t>
        <w:br/>
        <w:t>The Unified Modeling Language (UML) is a notation used for both the OOAD and MDA.</w:t>
        <w:br/>
        <w:t xml:space="preserve"> Following a consistent programming style often helps readability.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