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Transpiling on the other hand, takes the source-code from a high-level programming language and converts it into bytecode.</w:t>
        <w:br/>
        <w:t>By the late 1960s, data storage devices and computer terminals became inexpensive enough that programs could be created by typing directly into the computers.</w:t>
        <w:br/>
        <w:t>However, with the concept of the stored-program computer introduced in 1949, both programs and data were stored and manipulated in the same way in computer memory.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Also, specific user environment and usage history can make it difficult to reproduce the problem.</w:t>
        <w:br/>
        <w:t>In 1801, the Jacquard loom could produce entirely different weaves by changing the "program" – a series of pasteboard cards with holes punched in them.</w:t>
        <w:br/>
        <w:t>Use of a static code analysis tool can help detect some possible problems.</w:t>
        <w:br/>
        <w:t>Integrated development environments (IDEs) aim to integrate all such help.</w:t>
        <w:br/>
        <w:t>For example, COBOL is still strong in corporate data centers often on large mainframe computers, Fortran in engineering applications, scripting languages in Web development, and C in embedded software.</w:t>
        <w:br/>
        <w:t>This can be a non-trivial task, for example as with parallel processes or some unusual software bugs.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readability is more than just programming style.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