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Trial-and-error/divide-and-conquer is needed: the programmer will try to remove some parts of the original test case and check if the problem still exists.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Transpiling on the other hand, takes the source-code from a high-level programming language and converts it into bytecode.</w:t>
        <w:br/>
        <w:t>One approach popular for requirements analysis is Use Case analysis.</w:t>
        <w:br/>
        <w:t>Provided the functions in a library follow the appropriate run-time conventions (e.g., method of passing arguments), then these functions may be written in any other language.</w:t>
        <w:br/>
        <w:t>For this purpose, algorithms are classified into orders using so-called Big O notation, which expresses resource use, such as execution time or memory consumption, in terms of the size of an input.</w:t>
        <w:br/>
        <w:t>The source code of a program is written in one or more languages that are intelligible to programmers, rather than machine code, which is directly executed by the central processing unit.</w:t>
        <w:br/>
        <w:t>By the late 1960s, data storage devices and computer terminals became inexpensive enough that programs could be created by typing directly into the computers.</w:t>
        <w:br/>
        <w:t>Techniques like Code refactoring can enhance readability.</w:t>
        <w:br/>
        <w:t>One approach popular for requirements analysis is Use Case analysis.</w:t>
        <w:br/>
        <w:t xml:space="preserve"> A similar technique used for database design is Entity-Relationship Modeling (ER Modeling).</w:t>
        <w:br/>
        <w:t>It affects the aspects of quality above, including portability, usability and most importantly maintainability.</w:t>
        <w:br/>
        <w:t xml:space="preserve"> Whatever the approach to development may be, the final program must satisfy some fundamental properties.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