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However, readability is more than just programming style.</w:t>
        <w:br/>
        <w:t>This can be a non-trivial task, for example as with parallel processes or some unusual software bugs.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>He gave the first description of cryptanalysis by frequency analysis, the earliest code-breaking algorithm.</w:t>
        <w:br/>
        <w:t>Many applications use a mix of several languages in their construction and use.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>Compilers harnessed the power of computers to make programming easier by allowing programmers to specify calculations by entering a formula using infix notation.</w:t>
        <w:br/>
        <w:t>Use of a static code analysis tool can help detect some possible problems.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