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Unreadable code often leads to bugs, inefficiencies, and duplicated code.</w:t>
        <w:br/>
        <w:t>He gave the first description of cryptanalysis by frequency analysis, the earliest code-breaking algorithm.</w:t>
        <w:br/>
        <w:t>Compiling takes the source code from a low-level programming language and converts it into machine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Some languages are more prone to some kinds of faults because their specification does not require compilers to perform as much checking as other languages.</w:t>
        <w:br/>
        <w:t>Programming languages are essential for software development.</w:t>
        <w:br/>
        <w:t>One approach popular for requirements analysis is Use Case analysis.</w:t>
        <w:br/>
        <w:t>He gave the first description of cryptanalysis by frequency analysis, the earliest code-breaking algorithm.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Programming languages are essential for software development.</w:t>
        <w:br/>
        <w:t>Proficient programming thus usually requires expertise in several different subjects, including knowledge of the application domain, specialized algorithms, and formal logic.</w:t>
        <w:br/>
        <w:t>Transpiling on the other hand, takes the source-code from a high-level programming language and converts it into bytecode.</w:t>
        <w:br/>
        <w:t>However, Charles Babbage had already written his first program for the Analytical Engine in 1837.</w:t>
        <w:br/>
        <w:t xml:space="preserve"> Following a consistent programming style often helps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