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This is interpreted into machine code.</w:t>
        <w:br/>
        <w:t>Use of a static code analysis tool can help detect some possible problems.</w:t>
        <w:br/>
        <w:t>Integrated development environments (IDEs) aim to integrate all such help.</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Techniques like Code refactoring can enhance readability.</w:t>
        <w:br/>
        <w:t>Expert programmers are familiar with a variety of well-established algorithms and their respective complexities and use this knowledge to choose algorithms that are best suited to the circumstances.</w:t>
        <w:br/>
        <w:t>Trial-and-error/divide-and-conquer is needed: the programmer will try to remove some parts of the original test case and check if the problem still exists.</w:t>
        <w:br/>
        <w:t>However, readability is more than just programming style.</w:t>
        <w:br/>
        <w:t xml:space="preserve"> Debugging is often done with IDEs. Standalone debuggers like GDB are also used, and these often provide less of a visual environment, usually using a command line.</w:t>
        <w:br/>
        <w:t>There are many approaches to the Software development process.</w:t>
        <w:br/>
        <w:t>He gave the first description of cryptanalysis by frequency analysis, the earliest code-breaking algorithm.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Proficient programming thus usually requires expertise in several different subjects, including knowledge of the application domain, specialized algorithms, and formal logic.</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