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To produce machine code, the source code must either be compiled or transpiled.</w:t>
        <w:br/>
        <w:t>Many applications use a mix of several languages in their construction and use.</w:t>
        <w:br/>
        <w:t>The purpose of programming is to find a sequence of instructions that will automate the performance of a task (which can be as complex as an operating system) on a computer, often for solving a given problem.</w:t>
        <w:br/>
        <w:t>The Unified Modeling Language (UML) is a notation used for both the OOAD and MDA.</w:t>
        <w:br/>
        <w:t>In 1801, the Jacquard loom could produce entirely different weaves by changing the "program" – a series of pasteboard cards with holes punched in them.</w:t>
        <w:br/>
        <w:t>This is interpreted into machine code.</w:t>
        <w:br/>
        <w:t>In 1801, the Jacquard loom could produce entirely different weaves by changing the "program" – a series of pasteboard cards with holes punched in them.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Ideally, the programming language best suited for the task at hand will be selected.</w:t>
        <w:br/>
        <w:t xml:space="preserve"> Various visual programming languages have also been developed with the intent to resolve readability concerns by adopting non-traditional approaches to code structure and display.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1801, the Jacquard loom could produce entirely different weaves by changing the "program" – a series of pasteboard cards with holes punched in them.</w:t>
        <w:br/>
        <w:t>Languages form an approximate spectrum from "low-level" to "high-level"; "low-level" languages are typically more machine-oriented and faster to execute, whereas "high-level" languages are more abstract and easier to use but execute less quickly.</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