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Use of a static code analysis tool can help detect some possible problems.</w:t>
        <w:br/>
        <w:t>One approach popular for requirements analysis is Use Case analysis.</w:t>
        <w:br/>
        <w:t>Compiling takes the source code from a low-level programming language and converts it into machine code.</w:t>
        <w:br/>
        <w:t>One approach popular for requirements analysis is Use Case analysis.</w:t>
        <w:br/>
        <w:t>By the late 1960s, data storage devices and computer terminals became inexpensive enough that programs could be created by typing directly into the computers.</w:t>
        <w:br/>
        <w:t>One approach popular for requirements analysis is Use Case analysis.</w:t>
        <w:br/>
        <w:t>Some text editors such as Emacs allow GDB to be invoked through them, to provide a visual environment.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After the bug is reproduced, the input of the program may need to be simplified to make it easier to debug.</w:t>
        <w:br/>
        <w:t>Also, specific user environment and usage history can make it difficult to reproduce the problem.</w:t>
        <w:br/>
        <w:t>Proficient programming thus usually requires expertise in several different subjects, including knowledge of the application domain, specialized algorithms, and formal logic.</w:t>
        <w:br/>
        <w:br/>
        <w:t>The first compiler related tool, the A-0 System, was developed in 1952 by Grace Hopper, who also coined the term 'compiler'.</w:t>
        <w:br/>
        <w:t>Many applications use a mix of several languages in their construction and use.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