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In the 9th century, the Arab mathematician Al-Kindi described a cryptographic algorithm for deciphering encrypted code, in A Manuscript on Deciphering Cryptographic Messages.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Integrated development environments (IDEs) aim to integrate all such help.</w:t>
        <w:br/>
        <w:t>Many factors, having little or nothing to do with the ability of the computer to efficiently compile and execute the code, contribute to readability.</w:t>
        <w:br/>
        <w:t>It affects the aspects of quality above, including portability, usability and most importantly maintainability.</w:t>
        <w:br/>
        <w:t>However, because an assembly language is little more than a different notation for a machine language,  two machines with different instruction sets also have different assembly languages.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 study found that a few simple readability transformations made code shorter and drastically reduced the time to understand it.</w:t>
        <w:br/>
        <w:t>This is interpreted into machine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Expert programmers are familiar with a variety of well-established algorithms and their respective complexities and use this knowledge to choose algorithms that are best suited to the circumstances.</w:t>
        <w:br/>
        <w:t>As early as the 9th century, a programmable music sequencer was invented by the Persian Banu Musa brothers, who described an automated mechanical flute player in the Book of Ingenious Devices.</w:t>
        <w:br/>
        <w:t>However, readability is more than just programming style.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