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However, because an assembly language is little more than a different notation for a machine language,  two machines with different instruction sets also have different assembly languages.</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However, readability is more than just programming style.</w:t>
        <w:b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t>Programming languages are essential for software development.</w:t>
        <w:br/>
        <w:t xml:space="preserve"> Whatever the approach to development may be, the final program must satisfy some fundamental properties.</w:t>
        <w:br/>
        <w:t>The choice of language used is subject to many considerations, such as company policy, suitability to task, availability of third-party packages, or individual preference.</w:t>
        <w:br/>
        <w:t>It is usually easier to code in "high-level" languages than in "low-level" ones.</w:t>
        <w:br/>
        <w:t>Provided the functions in a library follow the appropriate run-time conventions (e.g., method of passing arguments), then these functions may be written in any other language.</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