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Use of a static code analysis tool can help detect some possible problems.</w:t>
        <w:br/>
        <w:t>This is interpreted into machine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choice of language used is subject to many considerations, such as company policy, suitability to task, availability of third-party packages, or individual preference.</w:t>
        <w:br/>
        <w:t>Many programmers use forms of Agile software development where the various stages of formal software development are more integrated together into short cycles that take a few weeks rather than years.</w:t>
        <w:br/>
        <w:t>In 1801, the Jacquard loom could produce entirely different weaves by changing the "program" – a series of pasteboard cards with holes punched in them.</w:t>
        <w:br/>
        <w:t>Some languages are more prone to some kinds of faults because their specification does not require compilers to perform as much checking as other languages.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They are the building blocks for all software, from the simplest applications to the most sophisticated ones.</w:t>
        <w:br/>
        <w:t xml:space="preserve"> Debugging is often done with IDEs. Standalone debuggers like GDB are also used, and these often provide less of a visual environment, usually using a command line.</w:t>
        <w:br/>
        <w:t>Provided the functions in a library follow the appropriate run-time conventions (e.g., method of passing arguments), then these functions may be written in any other language.</w:t>
        <w:br/>
        <w:t>Ideally, the programming language best suited for the task at hand will be selected.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