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Use of a static code analysis tool can help detect some possible problems.</w:t>
        <w:br/>
        <w:t>The following properties are among the most important:</w:t>
        <w:br/>
        <w:br/>
        <w:t xml:space="preserve"> In computer programming, readability refers to the ease with which a human reader can comprehend the purpose, control flow, and operation of source code.</w:t>
        <w:br/>
        <w:t>However, readability is more than just programming style.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Use of a static code analysis tool can help detect some possible problems.</w:t>
        <w:br/>
        <w:t>Unreadable code often leads to bugs, inefficiencies, and duplicated code.</w:t>
        <w:br/>
        <w:t>The following properties are among the most important:</w:t>
        <w:br/>
        <w:br/>
        <w:t xml:space="preserve"> In computer programming, readability refers to the ease with which a human reader can comprehend the purpose, control flow, and operation of source code.</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Charles Babbage had already written his first program for the Analytical Engine in 1837.</w:t>
        <w:br/>
        <w:t xml:space="preserve"> The academic field and the engineering practice of computer programming are both largely concerned with discovering and implementing the most efficient algorithms for a given class of problems.</w:t>
        <w:br/>
        <w:t>Assembly languages were soon developed that let the programmer specify instruction in a text format (e.g., ADD X, TOTAL), with abbreviations for each operation code and meaningful names for specifying addresses.</w:t>
        <w:br/>
        <w:t>However, readability is more than just programming style.</w:t>
        <w:br/>
        <w:t>There exist a lot of different approaches for each of those tasks.</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