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In 1801, the Jacquard loom could produce entirely different weaves by changing the "program" – a series of pasteboard cards with holes punched in them.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Use of a static code analysis tool can help detect some possible problems.</w:t>
        <w:br/>
        <w:t>In the 9th century, the Arab mathematician Al-Kindi described a cryptographic algorithm for deciphering encrypted code, in A Manuscript on Deciphering Cryptographic Messages.</w:t>
        <w:br/>
        <w:t>Some languages are more prone to some kinds of faults because their specification does not require compilers to perform as much checking as other languages.</w:t>
        <w:br/>
        <w:t>Some text editors such as Emacs allow GDB to be invoked through them, to provide a visual environment.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Techniques like Code refactoring can enhance readability.</w:t>
        <w:br/>
        <w:t>Normally the first step in debugging is to attempt to reproduce the problem.</w:t>
        <w:br/>
        <w:t>Provided the functions in a library follow the appropriate run-time conventions (e.g., method of passing arguments), then these functions may be written in any other language.</w:t>
        <w:br/>
        <w:t>Integrated development environments (IDEs) aim to integrate all such help.</w:t>
        <w:br/>
        <w:t>Proficient programming thus usually requires expertise in several different subjects, including knowledge of the application domain, specialized algorithms, and formal logic.</w:t>
        <w:br/>
        <w:t>A study found that a few simple readability transformations made code shorter and drastically reduced the time to understand it.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