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Ideally, the programming language best suited for the task at hand will be selected.</w:t>
        <w:br/>
        <w:t>However, because an assembly language is little more than a different notation for a machine language,  two machines with different instruction sets also have different assembly languages.</w:t>
        <w:br/>
        <w:t>One approach popular for requirements analysis is Use Case analysis.</w:t>
        <w:br/>
        <w:t>Provided the functions in a library follow the appropriate run-time conventions (e.g., method of passing arguments), then these functions may be written in any other language.</w:t>
        <w:br/>
        <w:t>The Unified Modeling Language (UML) is a notation used for both the OOAD and MDA.</w:t>
        <w:br/>
        <w:t>However, readability is more than just programming style.</w:t>
        <w:br/>
        <w:t>The Unified Modeling Language (UML) is a notation used for both the OOAD and MDA.</w:t>
        <w:br/>
        <w:t>Also, specific user environment and usage history can make it difficult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Integrated development environments (IDEs) aim to integrate all such help.</w:t>
        <w:br/>
        <w:t>A study found that a few simple readability transformations made code shorter and drastically reduced the time to understand it.</w:t>
        <w:br/>
        <w:t>He gave the first description of cryptanalysis by frequency analysis, the earliest code-breaking algorithm.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