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This can be a non-trivial task, for example as with parallel processes or some unusual software bugs.</w:t>
        <w:br/>
        <w:t>For example, when a bug in a compiler can make it crash when parsing some large source file, a simplification of the test case that results in only few lines from the original source file can be sufficient to reproduce the same crash.</w:t>
        <w:br/>
        <w:t>It is usually easier to code in "high-level" languages than in "low-level" ones.</w:t>
        <w:br/>
        <w:t>The following properties are among the most important:</w:t>
        <w:br/>
        <w:br/>
        <w:t xml:space="preserve"> In computer programming, readability refers to the ease with which a human reader can comprehend the purpose, control flow, and operation of source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Charles Babbage had already written his first program for the Analytical Engine in 1837.</w:t>
        <w:br/>
        <w:t>Use of a static code analysis tool can help detect some possible problems.</w:t>
        <w:br/>
        <w:t>Programming languages are essential for software development.</w:t>
        <w:br/>
        <w:t>For example, when a bug in a compiler can make it crash when parsing some large source file, a simplification of the test case that results in only few lines from the original source file can be sufficient to reproduce the same crash.</w:t>
        <w:br/>
        <w:t>Use of a static code analysis tool can help detect some possible problems.</w:t>
        <w:br/>
        <w:t>However, Charles Babbage had already written his first program for the Analytical Engine in 1837.</w:t>
        <w:br/>
        <w:t>Use of a static code analysis tool can help detect some possible problems.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